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044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Департамент образования Вологодской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Управление образования Администрации Верховажского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"Нижнекулойская средняя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Председатель Игнатьевская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Киселева О.А.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"Нижнекулойская средняя школа"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Игнатьевская Т.Н.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23127)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д. Урусовская</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0447" w:id="5"/>
    <w:p>
      <w:pPr>
        <w:sectPr>
          <w:pgSz w:w="11906" w:h="16383" w:orient="portrait"/>
        </w:sectPr>
      </w:pPr>
    </w:p>
    <w:bookmarkEnd w:id="5"/>
    <w:bookmarkEnd w:id="0"/>
    <w:bookmarkStart w:name="block-160451"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bookmarkStart w:name="block-160451" w:id="7"/>
    <w:p>
      <w:pPr>
        <w:sectPr>
          <w:pgSz w:w="11906" w:h="16383" w:orient="portrait"/>
        </w:sectPr>
      </w:pPr>
    </w:p>
    <w:bookmarkEnd w:id="7"/>
    <w:bookmarkEnd w:id="6"/>
    <w:bookmarkStart w:name="block-160448" w:id="8"/>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160448" w:id="9"/>
    <w:p>
      <w:pPr>
        <w:sectPr>
          <w:pgSz w:w="11906" w:h="16383" w:orient="portrait"/>
        </w:sectPr>
      </w:pPr>
    </w:p>
    <w:bookmarkEnd w:id="9"/>
    <w:bookmarkEnd w:id="8"/>
    <w:bookmarkStart w:name="block-160446" w:id="10"/>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11"/>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2"/>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3"/>
      <w:r>
        <w:rPr>
          <w:rFonts w:ascii="Times New Roman" w:hAnsi="Times New Roman"/>
          <w:b w:val="false"/>
          <w:i w:val="false"/>
          <w:color w:val="000000"/>
          <w:sz w:val="28"/>
        </w:rPr>
        <w:t xml:space="preserve"> «Ещё майская ночь», «Это утро, радость эта…», «Шёпот, робкое дыханье…». </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4"/>
      <w:r>
        <w:rPr>
          <w:rFonts w:ascii="Times New Roman" w:hAnsi="Times New Roman"/>
          <w:b w:val="false"/>
          <w:i w:val="false"/>
          <w:color w:val="000000"/>
          <w:sz w:val="28"/>
        </w:rPr>
        <w:t xml:space="preserve"> Например, главы «О корени происхождения глуповцев», «Опись градоначальникам», «Органчик».</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5"/>
      <w:r>
        <w:rPr>
          <w:rFonts w:ascii="Times New Roman" w:hAnsi="Times New Roman"/>
          <w:b w:val="false"/>
          <w:i w:val="false"/>
          <w:color w:val="000000"/>
          <w:sz w:val="28"/>
        </w:rPr>
        <w:t>«Очарованный странник».</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6"/>
      <w:r>
        <w:rPr>
          <w:rFonts w:ascii="Times New Roman" w:hAnsi="Times New Roman"/>
          <w:b w:val="false"/>
          <w:i w:val="false"/>
          <w:color w:val="000000"/>
          <w:sz w:val="28"/>
        </w:rPr>
        <w:t>«Студент», «Ионыч», «Крыжовник», «Человек в футляре».</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7"/>
      <w:r>
        <w:rPr>
          <w:rFonts w:ascii="Times New Roman" w:hAnsi="Times New Roman"/>
          <w:b w:val="false"/>
          <w:i w:val="false"/>
          <w:color w:val="000000"/>
          <w:sz w:val="28"/>
        </w:rPr>
        <w:t>(не менее одного по выбору). Например, Г. Тукая, К. Хетагурова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8"/>
      <w:r>
        <w:rPr>
          <w:rFonts w:ascii="Times New Roman" w:hAnsi="Times New Roman"/>
          <w:b w:val="false"/>
          <w:i w:val="false"/>
          <w:color w:val="000000"/>
          <w:sz w:val="28"/>
        </w:rPr>
        <w:t xml:space="preserve"> Г. Флобера «Мадам Бовари»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9"/>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20"/>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20"/>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1"/>
      <w:r>
        <w:rPr>
          <w:rFonts w:ascii="Times New Roman" w:hAnsi="Times New Roman"/>
          <w:b w:val="false"/>
          <w:i w:val="false"/>
          <w:color w:val="000000"/>
          <w:sz w:val="28"/>
        </w:rPr>
        <w:t>(одно произведение по выбору). Например, «Гранатовый браслет», «Олеся»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2"/>
      <w:r>
        <w:rPr>
          <w:rFonts w:ascii="Times New Roman" w:hAnsi="Times New Roman"/>
          <w:b w:val="false"/>
          <w:i w:val="false"/>
          <w:color w:val="000000"/>
          <w:sz w:val="28"/>
        </w:rPr>
        <w:t>(одно произведение по выбору). Например, «Иуда Искариот», «Большой шлем»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3"/>
      <w:r>
        <w:rPr>
          <w:rFonts w:ascii="Times New Roman" w:hAnsi="Times New Roman"/>
          <w:b w:val="false"/>
          <w:i w:val="false"/>
          <w:color w:val="000000"/>
          <w:sz w:val="28"/>
        </w:rPr>
        <w:t>(один по выбору). Например, «Старуха Изергиль», «Макар Чудра», «Коновалов»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4"/>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5"/>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6"/>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7"/>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8"/>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9"/>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30"/>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1"/>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3"/>
      <w:r>
        <w:rPr>
          <w:rFonts w:ascii="Times New Roman" w:hAnsi="Times New Roman"/>
          <w:b w:val="false"/>
          <w:i w:val="false"/>
          <w:color w:val="000000"/>
          <w:sz w:val="28"/>
        </w:rPr>
        <w:t>(избранные главы).</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4"/>
      <w:r>
        <w:rPr>
          <w:rFonts w:ascii="Times New Roman" w:hAnsi="Times New Roman"/>
          <w:b w:val="false"/>
          <w:i w:val="false"/>
          <w:color w:val="000000"/>
          <w:sz w:val="28"/>
        </w:rPr>
        <w:t>Романы «Белая гвардия», «Мастер и Маргарита» (один роман по выбору).</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5"/>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6"/>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7"/>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7"/>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8"/>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9"/>
      <w:r>
        <w:rPr>
          <w:rFonts w:ascii="Times New Roman" w:hAnsi="Times New Roman"/>
          <w:b w:val="false"/>
          <w:i w:val="false"/>
          <w:color w:val="000000"/>
          <w:sz w:val="28"/>
        </w:rPr>
        <w:t>(одно произведение по выбору). Например, В. С. Розов «Вечно живые»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40"/>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1"/>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2"/>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3"/>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4"/>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5"/>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6"/>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7"/>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8"/>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9"/>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50"/>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1"/>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2"/>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60446" w:id="53"/>
    <w:p>
      <w:pPr>
        <w:sectPr>
          <w:pgSz w:w="11906" w:h="16383" w:orient="portrait"/>
        </w:sectPr>
      </w:pPr>
    </w:p>
    <w:bookmarkEnd w:id="53"/>
    <w:bookmarkEnd w:id="10"/>
    <w:bookmarkStart w:name="block-160449" w:id="54"/>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924"/>
        <w:gridCol w:w="2960"/>
        <w:gridCol w:w="2125"/>
        <w:gridCol w:w="4285"/>
        <w:gridCol w:w="3259"/>
        <w:gridCol w:w="41"/>
      </w:tblGrid>
      <w:tr>
        <w:trPr>
          <w:trHeight w:val="570" w:hRule="atLeast"/>
          <w:trHeight w:val="144" w:hRule="atLeast"/>
        </w:trPr>
        <w:tc>
          <w:tcPr>
            <w:tcW w:w="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487"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2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5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432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525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405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351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16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32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trPr>
          <w:trHeight w:val="65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271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Пьеса «Вишнёвый сад»</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351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96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59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Эвристические беседы, направленные на формирование восприимчивости к разным видам искусства, традициям и творчеству своего и других народов, понимания эмоционального воздействия искусства, в том числе изучаемых литературных произведений; осознания важности художественной литературы и культуры как средства коммуникации и самовыражения.</w:t>
            </w:r>
          </w:p>
        </w:tc>
      </w:tr>
      <w:tr>
        <w:trPr>
          <w:trHeight w:val="297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924"/>
        <w:gridCol w:w="2960"/>
        <w:gridCol w:w="2125"/>
        <w:gridCol w:w="4285"/>
        <w:gridCol w:w="3259"/>
        <w:gridCol w:w="41"/>
      </w:tblGrid>
      <w:tr>
        <w:trPr>
          <w:trHeight w:val="570" w:hRule="atLeast"/>
          <w:trHeight w:val="144" w:hRule="atLeast"/>
        </w:trPr>
        <w:tc>
          <w:tcPr>
            <w:tcW w:w="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487"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22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327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trPr>
          <w:trHeight w:val="19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32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853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83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838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83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85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83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83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32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trPr>
          <w:trHeight w:val="32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trPr>
          <w:trHeight w:val="367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w:t>
            </w: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32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tc>
      </w:tr>
      <w:tr>
        <w:trPr>
          <w:trHeight w:val="83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987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64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64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1476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пространства.языка);</w:t>
            </w:r>
          </w:p>
        </w:tc>
      </w:tr>
      <w:tr>
        <w:trPr>
          <w:trHeight w:val="646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85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378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244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664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Поисковая беседа, направленная на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Диалог, направленный на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tc>
      </w:tr>
      <w:tr>
        <w:trPr>
          <w:trHeight w:val="834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859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Дискуссии, ориентированные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tc>
      </w:tr>
      <w:tr>
        <w:trPr>
          <w:trHeight w:val="1563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 Творческая работа, формирующая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tc>
      </w:tr>
      <w:tr>
        <w:trPr>
          <w:trHeight w:val="592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483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Эвристическая беседа. направленная на формирование восприимчивости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w:t>
            </w:r>
          </w:p>
        </w:tc>
      </w:tr>
      <w:tr>
        <w:trPr>
          <w:trHeight w:val="6105"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Эвристические беседы, направленные на формирование восприимчивости к разным видам искусства, традициям и творчеству своего и других народов, понимания эмоционального воздействия искусства, в том числе изучаемых литературных произведений; осознания важности художественной литературы и культуры как средства коммуникации и самовыражения.</w:t>
            </w:r>
          </w:p>
        </w:tc>
      </w:tr>
      <w:tr>
        <w:trPr>
          <w:trHeight w:val="4050" w:hRule="atLeast"/>
          <w:trHeight w:val="144" w:hRule="atLeast"/>
        </w:trPr>
        <w:tc>
          <w:tcPr>
            <w:tcW w:w="6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о межличностных отношениях, отражённых в художественных произведениях;</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999" w:type="dxa"/>
            <w:tcBorders/>
            <w:tcMar>
              <w:top w:w="50" w:type="dxa"/>
              <w:left w:w="100" w:type="dxa"/>
            </w:tcMar>
            <w:vAlign w:val="center"/>
          </w:tcPr>
          <w:p>
            <w:pPr>
              <w:spacing w:before="0" w:after="0"/>
              <w:ind w:left="135"/>
              <w:jc w:val="left"/>
            </w:pPr>
          </w:p>
        </w:tc>
        <w:tc>
          <w:tcPr>
            <w:tcW w:w="22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3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0449" w:id="55"/>
    <w:p>
      <w:pPr>
        <w:sectPr>
          <w:pgSz w:w="16383" w:h="11906" w:orient="landscape"/>
        </w:sectPr>
      </w:pPr>
    </w:p>
    <w:bookmarkEnd w:id="55"/>
    <w:bookmarkEnd w:id="54"/>
    <w:bookmarkStart w:name="block-160450" w:id="56"/>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4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пьесы «Вишневый сад». Смысл названия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пьесы "Вишневый сад". Особенности кофликта и системы образов. Разрушение «дворянского гнезда»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пьесе "Вишневый сад": образы Лопахина, Пети и Ани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2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зарубежной литературе ХIХ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2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А.А.Блока. Поэт и символизм. Разнообразие мотивов лирики. Образ Прекрасной Дамы в поэзии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40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любовной лирики С.А.Есенина («Шаганэ ты моя, Шаганэ…»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0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2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таматики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7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пробематика произведений автора (не менее трёх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8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7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поэтического мышления и языка поэта Бродского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прозведения второй половины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45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произведений писателей второй половины ХХ - начала ХХI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9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3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45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7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0450" w:id="57"/>
    <w:p>
      <w:pPr>
        <w:sectPr>
          <w:pgSz w:w="16383" w:h="11906" w:orient="landscape"/>
        </w:sectPr>
      </w:pPr>
    </w:p>
    <w:bookmarkEnd w:id="57"/>
    <w:bookmarkEnd w:id="56"/>
    <w:bookmarkStart w:name="block-160445" w:id="5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c2de858-3d6d-42b6-841e-aa5e99329bb8" w:id="59"/>
      <w:r>
        <w:rPr>
          <w:rFonts w:ascii="Times New Roman" w:hAnsi="Times New Roman"/>
          <w:b w:val="false"/>
          <w:i w:val="false"/>
          <w:color w:val="000000"/>
          <w:sz w:val="28"/>
        </w:rPr>
        <w:t>• Литература (в 2 частях), 10 класс/ Лебедев Ю.В., Акционерное общество «Издательство «Просвещение»</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0445" w:id="60"/>
    <w:p>
      <w:pPr>
        <w:sectPr>
          <w:pgSz w:w="11906" w:h="16383" w:orient="portrait"/>
        </w:sectPr>
      </w:pPr>
    </w:p>
    <w:bookmarkEnd w:id="60"/>
    <w:bookmarkEnd w:id="5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